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30F8E891" w:rsidR="00E90E49" w:rsidRPr="007167B6" w:rsidRDefault="00485307" w:rsidP="00E35559">
      <w:pPr>
        <w:pStyle w:val="3GPPHeader"/>
        <w:spacing w:after="60"/>
        <w:rPr>
          <w:szCs w:val="24"/>
          <w:highlight w:val="yellow"/>
        </w:rPr>
      </w:pPr>
      <w:r>
        <w:t>3GPP TSG-RAN WG2 #97bis</w:t>
      </w:r>
      <w:r w:rsidR="00E90E49" w:rsidRPr="00AF49CC">
        <w:rPr>
          <w:szCs w:val="24"/>
        </w:rPr>
        <w:tab/>
      </w:r>
      <w:r w:rsidR="00E90E49" w:rsidRPr="007167B6">
        <w:rPr>
          <w:szCs w:val="24"/>
        </w:rPr>
        <w:t xml:space="preserve">Tdoc </w:t>
      </w:r>
      <w:r w:rsidRPr="00485307">
        <w:rPr>
          <w:szCs w:val="24"/>
        </w:rPr>
        <w:t>R2-1703518</w:t>
      </w:r>
    </w:p>
    <w:p w14:paraId="1ECDC311" w14:textId="579C1550" w:rsidR="00EC60B5" w:rsidRDefault="00485307" w:rsidP="00EC60B5">
      <w:pPr>
        <w:pStyle w:val="CRCoverPage"/>
        <w:outlineLvl w:val="0"/>
        <w:rPr>
          <w:b/>
          <w:noProof/>
          <w:sz w:val="24"/>
        </w:rPr>
      </w:pPr>
      <w:r>
        <w:rPr>
          <w:b/>
          <w:noProof/>
          <w:sz w:val="24"/>
        </w:rPr>
        <w:t>Spokane, WA, USA, 3</w:t>
      </w:r>
      <w:r>
        <w:rPr>
          <w:b/>
          <w:noProof/>
          <w:sz w:val="24"/>
          <w:vertAlign w:val="superscript"/>
        </w:rPr>
        <w:t>rd</w:t>
      </w:r>
      <w:r>
        <w:rPr>
          <w:b/>
          <w:noProof/>
          <w:sz w:val="24"/>
        </w:rPr>
        <w:t xml:space="preserve"> – 7</w:t>
      </w:r>
      <w:r>
        <w:rPr>
          <w:b/>
          <w:noProof/>
          <w:sz w:val="24"/>
          <w:vertAlign w:val="superscript"/>
        </w:rPr>
        <w:t>th</w:t>
      </w:r>
      <w:r>
        <w:rPr>
          <w:b/>
          <w:noProof/>
          <w:sz w:val="24"/>
        </w:rPr>
        <w:t xml:space="preserve"> April 2017</w:t>
      </w:r>
      <w:r w:rsidR="006424F8">
        <w:rPr>
          <w:b/>
          <w:noProof/>
          <w:sz w:val="24"/>
        </w:rPr>
        <w:tab/>
      </w:r>
      <w:r w:rsidR="006424F8">
        <w:rPr>
          <w:b/>
          <w:noProof/>
          <w:sz w:val="24"/>
        </w:rPr>
        <w:tab/>
      </w:r>
      <w:r w:rsidR="006424F8">
        <w:rPr>
          <w:b/>
          <w:noProof/>
          <w:sz w:val="24"/>
        </w:rPr>
        <w:tab/>
      </w:r>
      <w:r w:rsidR="006424F8">
        <w:rPr>
          <w:b/>
          <w:noProof/>
          <w:sz w:val="24"/>
        </w:rPr>
        <w:tab/>
        <w:t xml:space="preserve">     </w:t>
      </w:r>
      <w:r w:rsidR="006424F8">
        <w:rPr>
          <w:b/>
          <w:noProof/>
          <w:sz w:val="24"/>
        </w:rPr>
        <w:tab/>
      </w:r>
      <w:r w:rsidR="006424F8" w:rsidRPr="006424F8">
        <w:rPr>
          <w:b/>
          <w:noProof/>
          <w:sz w:val="22"/>
        </w:rPr>
        <w:t>(</w:t>
      </w:r>
      <w:r w:rsidR="007D0379" w:rsidRPr="006424F8">
        <w:rPr>
          <w:noProof/>
          <w:szCs w:val="22"/>
        </w:rPr>
        <w:t>Resubmission of R2-1700880</w:t>
      </w:r>
      <w:r w:rsidR="006424F8" w:rsidRPr="006424F8">
        <w:rPr>
          <w:noProof/>
          <w:szCs w:val="22"/>
        </w:rPr>
        <w:t>)</w:t>
      </w:r>
    </w:p>
    <w:p w14:paraId="56C12257" w14:textId="77777777" w:rsidR="00E90E49" w:rsidRPr="00CE0424" w:rsidRDefault="00E90E49" w:rsidP="00357380">
      <w:pPr>
        <w:pStyle w:val="3GPPHeader"/>
      </w:pPr>
    </w:p>
    <w:p w14:paraId="4A4F422A" w14:textId="7E2F23DA" w:rsidR="00E90E49" w:rsidRPr="00485307" w:rsidRDefault="00E90E49" w:rsidP="00311702">
      <w:pPr>
        <w:pStyle w:val="3GPPHeader"/>
        <w:rPr>
          <w:sz w:val="22"/>
          <w:szCs w:val="22"/>
          <w:lang w:val="en-US"/>
        </w:rPr>
      </w:pPr>
      <w:r w:rsidRPr="00485307">
        <w:rPr>
          <w:sz w:val="22"/>
          <w:szCs w:val="22"/>
          <w:lang w:val="en-US"/>
        </w:rPr>
        <w:t>Agenda Item:</w:t>
      </w:r>
      <w:r w:rsidRPr="00485307">
        <w:rPr>
          <w:sz w:val="22"/>
          <w:szCs w:val="22"/>
          <w:lang w:val="en-US"/>
        </w:rPr>
        <w:tab/>
      </w:r>
      <w:r w:rsidR="00485307" w:rsidRPr="00485307">
        <w:rPr>
          <w:sz w:val="22"/>
          <w:szCs w:val="22"/>
          <w:lang w:val="en-US"/>
        </w:rPr>
        <w:t>10.4.2.3</w:t>
      </w:r>
    </w:p>
    <w:p w14:paraId="5DAA27F0" w14:textId="77777777" w:rsidR="00E90E49" w:rsidRPr="00D9205E" w:rsidRDefault="003D3C45" w:rsidP="00F64C2B">
      <w:pPr>
        <w:pStyle w:val="3GPPHeader"/>
        <w:rPr>
          <w:sz w:val="22"/>
          <w:szCs w:val="22"/>
        </w:rPr>
      </w:pPr>
      <w:r w:rsidRPr="00D9205E">
        <w:rPr>
          <w:sz w:val="22"/>
          <w:szCs w:val="22"/>
        </w:rPr>
        <w:t>Source:</w:t>
      </w:r>
      <w:r w:rsidR="00E90E49" w:rsidRPr="00D9205E">
        <w:rPr>
          <w:sz w:val="22"/>
          <w:szCs w:val="22"/>
        </w:rPr>
        <w:tab/>
      </w:r>
      <w:r w:rsidR="00F64C2B" w:rsidRPr="00D9205E">
        <w:rPr>
          <w:sz w:val="22"/>
          <w:szCs w:val="22"/>
        </w:rPr>
        <w:t>Ericsson</w:t>
      </w:r>
    </w:p>
    <w:p w14:paraId="63CB047E" w14:textId="0253F979" w:rsidR="00E90E49" w:rsidRPr="00D9205E" w:rsidRDefault="003D3C45" w:rsidP="00311702">
      <w:pPr>
        <w:pStyle w:val="3GPPHeader"/>
        <w:rPr>
          <w:sz w:val="22"/>
          <w:szCs w:val="22"/>
        </w:rPr>
      </w:pPr>
      <w:r w:rsidRPr="00D9205E">
        <w:rPr>
          <w:sz w:val="22"/>
          <w:szCs w:val="22"/>
        </w:rPr>
        <w:t>Title:</w:t>
      </w:r>
      <w:r w:rsidR="00E90E49" w:rsidRPr="00D9205E">
        <w:rPr>
          <w:sz w:val="22"/>
          <w:szCs w:val="22"/>
        </w:rPr>
        <w:tab/>
      </w:r>
      <w:r w:rsidR="00D9205E" w:rsidRPr="00D9205E">
        <w:rPr>
          <w:sz w:val="22"/>
          <w:szCs w:val="22"/>
        </w:rPr>
        <w:t>P</w:t>
      </w:r>
      <w:r w:rsidR="00555CD2" w:rsidRPr="00D9205E">
        <w:rPr>
          <w:sz w:val="22"/>
          <w:szCs w:val="22"/>
        </w:rPr>
        <w:t>aging</w:t>
      </w:r>
      <w:r w:rsidR="00C747D9" w:rsidRPr="00D9205E">
        <w:rPr>
          <w:sz w:val="22"/>
          <w:szCs w:val="22"/>
        </w:rPr>
        <w:t xml:space="preserve"> delivery</w:t>
      </w:r>
      <w:r w:rsidR="00946ADD" w:rsidRPr="00D9205E">
        <w:rPr>
          <w:sz w:val="22"/>
          <w:szCs w:val="22"/>
        </w:rPr>
        <w:t xml:space="preserve"> in NR</w:t>
      </w:r>
    </w:p>
    <w:p w14:paraId="7E783B99" w14:textId="77777777" w:rsidR="00E90E49" w:rsidRPr="00CE0424" w:rsidRDefault="00E90E49" w:rsidP="00D546FF">
      <w:pPr>
        <w:pStyle w:val="3GPPHeader"/>
        <w:rPr>
          <w:sz w:val="22"/>
          <w:szCs w:val="22"/>
        </w:rPr>
      </w:pPr>
      <w:r w:rsidRPr="00D9205E">
        <w:rPr>
          <w:sz w:val="22"/>
          <w:szCs w:val="22"/>
        </w:rPr>
        <w:t>Document for:</w:t>
      </w:r>
      <w:r w:rsidRPr="00D9205E">
        <w:rPr>
          <w:sz w:val="22"/>
          <w:szCs w:val="22"/>
        </w:rPr>
        <w:tab/>
        <w:t>Discussion, Decision</w:t>
      </w:r>
      <w:bookmarkStart w:id="0" w:name="_GoBack"/>
      <w:bookmarkEnd w:id="0"/>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030642E3" w14:textId="171827FB" w:rsidR="00422C10" w:rsidRDefault="00422C10" w:rsidP="00CE0424">
      <w:pPr>
        <w:pStyle w:val="BodyText"/>
      </w:pPr>
      <w:r>
        <w:t xml:space="preserve">Paging is an essential function in a wireless communication system. For NR the paging functionality of LTE can be used as a baseline. However, the conditions are different for NR, which motivates differences in the paging mechanisms, e.g. due to </w:t>
      </w:r>
      <w:r w:rsidR="007E4157">
        <w:t>higher frequency bands to be supported and the difference in the usage of reference signals, because of the lean design principle applied for NR.</w:t>
      </w:r>
    </w:p>
    <w:p w14:paraId="36CEC7B2" w14:textId="6DC9B85B" w:rsidR="001643A8" w:rsidRDefault="004000E8" w:rsidP="00CE0424">
      <w:pPr>
        <w:pStyle w:val="Heading1"/>
      </w:pPr>
      <w:bookmarkStart w:id="1" w:name="_Ref178064866"/>
      <w:r w:rsidRPr="00CE0424">
        <w:t>Discussion</w:t>
      </w:r>
      <w:bookmarkEnd w:id="1"/>
    </w:p>
    <w:p w14:paraId="35486B6A" w14:textId="0306D177" w:rsidR="00422C10" w:rsidRDefault="007E4157" w:rsidP="00E36A7C">
      <w:pPr>
        <w:pStyle w:val="BodyText"/>
      </w:pPr>
      <w:r>
        <w:t>In LTE paging is delivered like any downlink data using the PDCCH and the PDSCH, where the paging message, which is transmitted on the PDSCH, is allocated transmission resources by a scheduling assignment on the PDCCH addressed to the P-RNTI (which is shared by all UEs). The delivery channel is cell specific, since both the assisting reference signals – the CRS – and the scrambling are derived from the PCI.</w:t>
      </w:r>
      <w:r w:rsidR="00193CA3">
        <w:t xml:space="preserve"> </w:t>
      </w:r>
    </w:p>
    <w:p w14:paraId="68B447C3" w14:textId="19EE79C5" w:rsidR="00FF2F92" w:rsidRPr="00FF2F92" w:rsidRDefault="00FF2F92" w:rsidP="00FF2F92">
      <w:pPr>
        <w:ind w:left="1701" w:hanging="1701"/>
        <w:rPr>
          <w:b/>
        </w:rPr>
      </w:pPr>
      <w:r w:rsidRPr="009A5204">
        <w:rPr>
          <w:b/>
        </w:rPr>
        <w:t>Observation 1</w:t>
      </w:r>
      <w:r w:rsidRPr="009A5204">
        <w:rPr>
          <w:b/>
        </w:rPr>
        <w:tab/>
      </w:r>
      <w:r>
        <w:rPr>
          <w:b/>
        </w:rPr>
        <w:t>In LTE the configuration of the channel used for delivery of paging can be derived from the PCI.</w:t>
      </w:r>
    </w:p>
    <w:p w14:paraId="0C65D0C9" w14:textId="19BA2C63" w:rsidR="00FF2F92" w:rsidRDefault="00FF2F92" w:rsidP="00E36A7C">
      <w:pPr>
        <w:pStyle w:val="BodyText"/>
      </w:pPr>
      <w:r>
        <w:t>The same principle, i.e. delivering paging on a channel whose configuration can be derived from the PCI may be used in NR too.</w:t>
      </w:r>
    </w:p>
    <w:p w14:paraId="2502B83B" w14:textId="56656F25" w:rsidR="00011217" w:rsidRDefault="00011217" w:rsidP="00E36A7C">
      <w:pPr>
        <w:pStyle w:val="BodyText"/>
      </w:pPr>
      <w:r>
        <w:t xml:space="preserve">However, as mentioned above, the conditions are different in NR than in LTE and paging may be delivered in different ways. At least three different delivery means may be used, i.e. omnidirectional or wide beam </w:t>
      </w:r>
      <w:r w:rsidR="00CC228F">
        <w:t xml:space="preserve">(e.g. sector) </w:t>
      </w:r>
      <w:r>
        <w:t>transmission, sweeping of narrow beams or single frequency network (SFN) transmission involving multiple cells or multiple transmission points serving the same cell.</w:t>
      </w:r>
    </w:p>
    <w:p w14:paraId="72586666" w14:textId="1C5727BF" w:rsidR="00CC228F" w:rsidRDefault="00CC228F" w:rsidP="00E36A7C">
      <w:pPr>
        <w:pStyle w:val="BodyText"/>
      </w:pPr>
      <w:r>
        <w:t>In low frequency bands omnidirectional or wide beam transmission is a straightforward method without any specific drawbacks. In higher frequencies sweeping of narrow beams may be used, but disadvantages of this approach include large overhead and increased DRX active/wake time for the UE to monitor the paging channel, since it does not know which beam(s) in the sweep it can receive. A potentially better a</w:t>
      </w:r>
      <w:r w:rsidR="007167B6">
        <w:t>lternative could be to use omni</w:t>
      </w:r>
      <w:r>
        <w:t>directional or wide beam transmission with repetition to allow accumulation of multiple receptions for UEs at the cell edge. The number of repetitions needed to provide coverage at the cell edge depend on the deployment density and the applied modulation and coding.</w:t>
      </w:r>
    </w:p>
    <w:p w14:paraId="3CD35C2F" w14:textId="5716A12A" w:rsidR="00F90E48" w:rsidRDefault="00F90E48" w:rsidP="00E36A7C">
      <w:pPr>
        <w:pStyle w:val="BodyText"/>
      </w:pPr>
      <w:r>
        <w:t>Yet another way to improve the link budget is to use SFN transmission from synchronized transmission points, serving the same or different cells.</w:t>
      </w:r>
    </w:p>
    <w:p w14:paraId="04856EED" w14:textId="77777777" w:rsidR="001E495D" w:rsidRDefault="00B90E78" w:rsidP="00E36A7C">
      <w:pPr>
        <w:pStyle w:val="BodyText"/>
      </w:pPr>
      <w:r>
        <w:t xml:space="preserve">The lack of ever-available CRSs motivates DMRS to be configured for the paging delivery. </w:t>
      </w:r>
      <w:r w:rsidR="00FF2F92">
        <w:t xml:space="preserve">Similarly, the lack of a consistently present PDCCH+PDSCH motivates configuration of transmission resources to be used for paging delivery. </w:t>
      </w:r>
      <w:r w:rsidR="001E495D">
        <w:t>If the NR-PSS/NR-SSS transmissions, from which the PCI is derived, are sparse, it may be beneficial to include a synchronization component in the reference signal for the paging delivery to prevent that a UE which has been in DRX sleep mode a relatively long time has to receive the NR-PSS/NR-SSS before receiving the paging channel. Reference signal and transmission resources, as well as scrambling,</w:t>
      </w:r>
      <w:r>
        <w:t xml:space="preserve"> may be derived from the PCI, which is a straightforward and lightweight mechanism. </w:t>
      </w:r>
    </w:p>
    <w:p w14:paraId="18D2D721" w14:textId="77777777" w:rsidR="002261A8" w:rsidRDefault="002261A8" w:rsidP="002261A8">
      <w:pPr>
        <w:ind w:left="1701" w:hanging="1701"/>
        <w:rPr>
          <w:b/>
        </w:rPr>
      </w:pPr>
      <w:r>
        <w:rPr>
          <w:b/>
        </w:rPr>
        <w:t>Observation 2</w:t>
      </w:r>
      <w:r w:rsidRPr="009A5204">
        <w:rPr>
          <w:b/>
        </w:rPr>
        <w:tab/>
      </w:r>
      <w:r>
        <w:rPr>
          <w:b/>
        </w:rPr>
        <w:t>The paging channel configuration may be derived from the PCI, similar to the principle used in LTE</w:t>
      </w:r>
      <w:r w:rsidRPr="009A5204">
        <w:rPr>
          <w:b/>
        </w:rPr>
        <w:t>.</w:t>
      </w:r>
      <w:r>
        <w:rPr>
          <w:b/>
        </w:rPr>
        <w:t xml:space="preserve"> </w:t>
      </w:r>
      <w:r w:rsidRPr="001E495D">
        <w:rPr>
          <w:b/>
        </w:rPr>
        <w:t>This is a straightforward and lightweight mechanism which</w:t>
      </w:r>
      <w:r>
        <w:rPr>
          <w:b/>
        </w:rPr>
        <w:t xml:space="preserve"> does not add any explicit configuration information to the system information.</w:t>
      </w:r>
    </w:p>
    <w:p w14:paraId="1D942FAC" w14:textId="7B26A795" w:rsidR="00422C10" w:rsidRDefault="00B90E78" w:rsidP="00E36A7C">
      <w:pPr>
        <w:pStyle w:val="BodyText"/>
      </w:pPr>
      <w:r>
        <w:lastRenderedPageBreak/>
        <w:t>However, explicit configuration of reference signal and scrambling may also be motivated. This is needed to enable SFN transmission involving multiple cells. Explicit configuration may be useful also for beam sweeping of paging, because the configuration may contain beam sweep related information that facilitates monitoring and reception for the UE.</w:t>
      </w:r>
      <w:r w:rsidR="002261A8">
        <w:t xml:space="preserve"> Explicit paging channel configuration information may be provided in the system information, e.g. in the minimum system information.</w:t>
      </w:r>
    </w:p>
    <w:p w14:paraId="74A7F30C" w14:textId="425AC2CA" w:rsidR="00FF2F92" w:rsidRDefault="002261A8" w:rsidP="00FF2F92">
      <w:pPr>
        <w:ind w:left="1701" w:hanging="1701"/>
        <w:rPr>
          <w:b/>
        </w:rPr>
      </w:pPr>
      <w:r>
        <w:rPr>
          <w:b/>
        </w:rPr>
        <w:t>Observation 3</w:t>
      </w:r>
      <w:r w:rsidR="00300CEB">
        <w:rPr>
          <w:b/>
        </w:rPr>
        <w:tab/>
        <w:t>The paging channel may be explicitly configured via the system information, e.g. the minimum system information. The benefits would be that it enables</w:t>
      </w:r>
      <w:r w:rsidR="0028370A">
        <w:rPr>
          <w:b/>
        </w:rPr>
        <w:t xml:space="preserve"> single frequency network</w:t>
      </w:r>
      <w:r w:rsidR="00300CEB">
        <w:rPr>
          <w:b/>
        </w:rPr>
        <w:t xml:space="preserve"> </w:t>
      </w:r>
      <w:r w:rsidR="0028370A">
        <w:rPr>
          <w:b/>
        </w:rPr>
        <w:t>(</w:t>
      </w:r>
      <w:r w:rsidR="00300CEB">
        <w:rPr>
          <w:b/>
        </w:rPr>
        <w:t>SFN</w:t>
      </w:r>
      <w:r w:rsidR="0028370A">
        <w:rPr>
          <w:b/>
        </w:rPr>
        <w:t>)</w:t>
      </w:r>
      <w:r w:rsidR="00300CEB">
        <w:rPr>
          <w:b/>
        </w:rPr>
        <w:t xml:space="preserve"> transmission of paging</w:t>
      </w:r>
      <w:r>
        <w:rPr>
          <w:b/>
        </w:rPr>
        <w:t xml:space="preserve"> in multiple cells </w:t>
      </w:r>
      <w:r w:rsidR="00300CEB">
        <w:rPr>
          <w:b/>
        </w:rPr>
        <w:t>and may provide beam sweep information in higher frequency bands.</w:t>
      </w:r>
    </w:p>
    <w:p w14:paraId="2EEF9D45" w14:textId="7C4B2DA8" w:rsidR="002261A8" w:rsidRPr="002261A8" w:rsidRDefault="002261A8" w:rsidP="002261A8">
      <w:r w:rsidRPr="002261A8">
        <w:t>Both derivation from the PCI and explicit</w:t>
      </w:r>
      <w:r>
        <w:t xml:space="preserve"> configuration via system information have their respective merits. It would be good to be allow the network to use either of them in different scenarios.</w:t>
      </w:r>
    </w:p>
    <w:p w14:paraId="1E923DA8" w14:textId="0ADF7E73" w:rsidR="000F1703" w:rsidRDefault="002261A8" w:rsidP="000F1703">
      <w:pPr>
        <w:pStyle w:val="Proposal"/>
      </w:pPr>
      <w:bookmarkStart w:id="2" w:name="_Toc469936291"/>
      <w:bookmarkStart w:id="3" w:name="_Toc478154356"/>
      <w:r>
        <w:t>NR should support delivery of paging through omnidirectional/wide beam transmission, beam sweeping or SFN transmission</w:t>
      </w:r>
      <w:r w:rsidR="00D63475">
        <w:t>.</w:t>
      </w:r>
      <w:bookmarkEnd w:id="2"/>
      <w:bookmarkEnd w:id="3"/>
    </w:p>
    <w:p w14:paraId="1A2909CF" w14:textId="58F54A67" w:rsidR="002261A8" w:rsidRDefault="002261A8" w:rsidP="000F1703">
      <w:pPr>
        <w:pStyle w:val="Proposal"/>
      </w:pPr>
      <w:bookmarkStart w:id="4" w:name="_Toc469936292"/>
      <w:bookmarkStart w:id="5" w:name="_Toc478154357"/>
      <w:r>
        <w:t>A default configuration of the paging channel should be derived from the PCI. This default configuration may be overridden by explicit configuration information in the system information.</w:t>
      </w:r>
      <w:bookmarkEnd w:id="4"/>
      <w:bookmarkEnd w:id="5"/>
    </w:p>
    <w:p w14:paraId="294E048E" w14:textId="536D7596" w:rsidR="002261A8" w:rsidRPr="009A6C99" w:rsidRDefault="002261A8" w:rsidP="009A6C99">
      <w:r w:rsidRPr="009A6C99">
        <w:t>Once a configured paging channel is in place and available for UEs in idle mode or the “new state”</w:t>
      </w:r>
      <w:r w:rsidR="009A6C99">
        <w:t xml:space="preserve">, it may be considered to use this channel for delivery of other data to UEs in idle mode or the “new state”. Such data could e.g. be on demand triggered broadcast of other system information (i.e. system information that is not included in the periodically broadcast minimum system information). The channel may have a </w:t>
      </w:r>
      <w:r w:rsidR="009A6C99" w:rsidRPr="009A6C99">
        <w:t>“two-channel” structure with a principle similar to the PDCCH+PDSCH approach of LTE</w:t>
      </w:r>
      <w:r w:rsidR="009A6C99">
        <w:t>. This would make it a generic channel for delivery of control information to UEs in idle mode or the “new state”.</w:t>
      </w:r>
    </w:p>
    <w:p w14:paraId="5D6C450E" w14:textId="177B1273" w:rsidR="009A5204" w:rsidRDefault="009A5204" w:rsidP="009A5204">
      <w:pPr>
        <w:ind w:left="1701" w:hanging="1701"/>
        <w:rPr>
          <w:b/>
        </w:rPr>
      </w:pPr>
      <w:r w:rsidRPr="009A5204">
        <w:rPr>
          <w:b/>
        </w:rPr>
        <w:t>O</w:t>
      </w:r>
      <w:r w:rsidR="009A6C99">
        <w:rPr>
          <w:b/>
        </w:rPr>
        <w:t>bservation 4</w:t>
      </w:r>
      <w:r w:rsidRPr="009A5204">
        <w:rPr>
          <w:b/>
        </w:rPr>
        <w:tab/>
      </w:r>
      <w:r w:rsidR="000F1703">
        <w:rPr>
          <w:b/>
        </w:rPr>
        <w:t xml:space="preserve">The channel for delivering paging could be a generic channel for delivery of control information to UEs in idle </w:t>
      </w:r>
      <w:r w:rsidR="009A6C99">
        <w:rPr>
          <w:b/>
        </w:rPr>
        <w:t>mode or the “new</w:t>
      </w:r>
      <w:r w:rsidR="000F1703">
        <w:rPr>
          <w:b/>
        </w:rPr>
        <w:t xml:space="preserve"> state</w:t>
      </w:r>
      <w:r w:rsidR="009A6C99">
        <w:rPr>
          <w:b/>
        </w:rPr>
        <w:t>”</w:t>
      </w:r>
      <w:r w:rsidRPr="009A5204">
        <w:rPr>
          <w:b/>
        </w:rPr>
        <w:t>.</w:t>
      </w:r>
      <w:r w:rsidR="000F1703">
        <w:rPr>
          <w:b/>
        </w:rPr>
        <w:t xml:space="preserve"> In addition to paging, it could e.g. be use</w:t>
      </w:r>
      <w:r w:rsidR="002E3639">
        <w:rPr>
          <w:b/>
        </w:rPr>
        <w:t>d</w:t>
      </w:r>
      <w:r w:rsidR="000F1703">
        <w:rPr>
          <w:b/>
        </w:rPr>
        <w:t xml:space="preserve"> for transmission of on demand system information. It may have a “two-channel” structure with a principle similar to the PDCCH+PDSCH approach of LTE.</w:t>
      </w:r>
      <w:r w:rsidR="001734CA">
        <w:rPr>
          <w:b/>
        </w:rPr>
        <w:t xml:space="preserve"> This is primarily a RAN1 issue.</w:t>
      </w:r>
    </w:p>
    <w:p w14:paraId="551C5BC4" w14:textId="77777777" w:rsidR="00802CB9" w:rsidRPr="00CE0424" w:rsidRDefault="00802CB9" w:rsidP="00802CB9"/>
    <w:p w14:paraId="7E690B51" w14:textId="77777777" w:rsidR="00C01F33" w:rsidRPr="00CE0424" w:rsidRDefault="00C01F33" w:rsidP="00CE0424">
      <w:pPr>
        <w:pStyle w:val="Heading1"/>
      </w:pPr>
      <w:r w:rsidRPr="00CE0424">
        <w:t>Conclusion</w:t>
      </w:r>
    </w:p>
    <w:p w14:paraId="267CA81D" w14:textId="47D218AB" w:rsidR="00E60D0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55A6">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74A294B" w14:textId="5DD1A8A7" w:rsidR="00E60D0E" w:rsidRDefault="00E60D0E">
      <w:pPr>
        <w:pStyle w:val="TOC1"/>
      </w:pPr>
      <w:r w:rsidRPr="00435B79">
        <w:t>Observation 1</w:t>
      </w:r>
      <w:r w:rsidRPr="00435B79">
        <w:rPr>
          <w:rFonts w:asciiTheme="minorHAnsi" w:eastAsiaTheme="minorEastAsia" w:hAnsiTheme="minorHAnsi" w:cstheme="minorBidi"/>
          <w:sz w:val="22"/>
          <w:lang w:eastAsia="sv-SE"/>
        </w:rPr>
        <w:tab/>
      </w:r>
      <w:r w:rsidR="001E207C" w:rsidRPr="001E207C">
        <w:rPr>
          <w:rFonts w:asciiTheme="minorHAnsi" w:eastAsiaTheme="minorEastAsia" w:hAnsiTheme="minorHAnsi" w:cstheme="minorBidi"/>
          <w:sz w:val="22"/>
          <w:lang w:eastAsia="sv-SE"/>
        </w:rPr>
        <w:t>In LTE the configuration of the channel used for delivery of paging can be derived from the PCI</w:t>
      </w:r>
      <w:r w:rsidR="00435B79" w:rsidRPr="00435B79">
        <w:t>.</w:t>
      </w:r>
    </w:p>
    <w:p w14:paraId="18D0D7EE" w14:textId="6DBB45C5" w:rsidR="00435B79" w:rsidRDefault="00435B79">
      <w:pPr>
        <w:pStyle w:val="TOC1"/>
      </w:pPr>
      <w:r>
        <w:t>Observation 2</w:t>
      </w:r>
      <w:r>
        <w:tab/>
      </w:r>
      <w:r w:rsidR="001E207C" w:rsidRPr="001E207C">
        <w:t>The paging channel configuration may be derived from the PCI, similar to the principle used in LTE. This is a straightforward and lightweight mechanism which does not add any explicit configuration information to the system information</w:t>
      </w:r>
      <w:r>
        <w:t>.</w:t>
      </w:r>
    </w:p>
    <w:p w14:paraId="57AAB331" w14:textId="55147546" w:rsidR="000F1703" w:rsidRDefault="000F1703">
      <w:pPr>
        <w:pStyle w:val="TOC1"/>
      </w:pPr>
      <w:r>
        <w:t>Observation 3</w:t>
      </w:r>
      <w:r>
        <w:tab/>
      </w:r>
      <w:r w:rsidR="001E207C">
        <w:t>The paging channel may be explicitly configured via the system information, e.g. the minimum system information. The benefits would be that it enables single frequency network (SFN) transmission of paging</w:t>
      </w:r>
      <w:r w:rsidR="001E207C">
        <w:rPr>
          <w:b w:val="0"/>
        </w:rPr>
        <w:t xml:space="preserve"> in multiple cells </w:t>
      </w:r>
      <w:r w:rsidR="001E207C">
        <w:t>and may provide beam sweep information in higher frequency bands</w:t>
      </w:r>
      <w:r>
        <w:t>.</w:t>
      </w:r>
    </w:p>
    <w:p w14:paraId="0CE3D859" w14:textId="3AD993A5" w:rsidR="001E207C" w:rsidRPr="00435B79" w:rsidRDefault="001E207C">
      <w:pPr>
        <w:pStyle w:val="TOC1"/>
        <w:rPr>
          <w:rFonts w:asciiTheme="minorHAnsi" w:eastAsiaTheme="minorEastAsia" w:hAnsiTheme="minorHAnsi" w:cstheme="minorBidi"/>
          <w:sz w:val="22"/>
          <w:lang w:eastAsia="sv-SE"/>
        </w:rPr>
      </w:pPr>
      <w:r>
        <w:t>Observation 4</w:t>
      </w:r>
      <w:r>
        <w:tab/>
        <w:t xml:space="preserve">The channel for delivering paging could be a generic channel for delivery of control information to UEs in idle </w:t>
      </w:r>
      <w:r>
        <w:rPr>
          <w:b w:val="0"/>
        </w:rPr>
        <w:t>mode or the “new</w:t>
      </w:r>
      <w:r>
        <w:t xml:space="preserve"> state</w:t>
      </w:r>
      <w:r>
        <w:rPr>
          <w:b w:val="0"/>
        </w:rPr>
        <w:t>”</w:t>
      </w:r>
      <w:r w:rsidRPr="009A5204">
        <w:t>.</w:t>
      </w:r>
      <w:r>
        <w:t xml:space="preserve"> In addition to paging, it could e.g. be used for transmission of on demand system information. It may have a “two-channel” structure with a principle similar to the PDCCH+PDSCH approach of LTE. This is primarily a RAN1 issue.</w:t>
      </w:r>
    </w:p>
    <w:p w14:paraId="5C342F4B" w14:textId="77777777" w:rsidR="008E065E" w:rsidRDefault="008E065E" w:rsidP="008E065E">
      <w:pPr>
        <w:pStyle w:val="BodyText"/>
        <w:rPr>
          <w:b/>
          <w:bCs/>
        </w:rPr>
      </w:pPr>
      <w:r>
        <w:rPr>
          <w:b/>
          <w:bCs/>
        </w:rPr>
        <w:fldChar w:fldCharType="end"/>
      </w:r>
    </w:p>
    <w:p w14:paraId="24EFF6AC" w14:textId="77777777" w:rsidR="006424F8"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55A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4D6DCFB" w14:textId="77777777" w:rsidR="006424F8" w:rsidRPr="006424F8" w:rsidRDefault="006424F8">
      <w:pPr>
        <w:pStyle w:val="TOC1"/>
        <w:rPr>
          <w:rFonts w:asciiTheme="minorHAnsi" w:eastAsiaTheme="minorEastAsia" w:hAnsiTheme="minorHAnsi" w:cstheme="minorBidi"/>
          <w:b w:val="0"/>
          <w:sz w:val="22"/>
          <w:lang w:eastAsia="sv-SE"/>
        </w:rPr>
      </w:pPr>
      <w:r>
        <w:lastRenderedPageBreak/>
        <w:t>Proposal 1</w:t>
      </w:r>
      <w:r w:rsidRPr="006424F8">
        <w:rPr>
          <w:rFonts w:asciiTheme="minorHAnsi" w:eastAsiaTheme="minorEastAsia" w:hAnsiTheme="minorHAnsi" w:cstheme="minorBidi"/>
          <w:b w:val="0"/>
          <w:sz w:val="22"/>
          <w:lang w:eastAsia="sv-SE"/>
        </w:rPr>
        <w:tab/>
      </w:r>
      <w:r>
        <w:t>NR should support delivery of paging through omnidirectional/wide beam transmission, beam sweeping or SFN transmission.</w:t>
      </w:r>
    </w:p>
    <w:p w14:paraId="61E8615F" w14:textId="77777777" w:rsidR="006424F8" w:rsidRPr="006424F8" w:rsidRDefault="006424F8">
      <w:pPr>
        <w:pStyle w:val="TOC1"/>
        <w:rPr>
          <w:rFonts w:asciiTheme="minorHAnsi" w:eastAsiaTheme="minorEastAsia" w:hAnsiTheme="minorHAnsi" w:cstheme="minorBidi"/>
          <w:b w:val="0"/>
          <w:sz w:val="22"/>
          <w:lang w:eastAsia="sv-SE"/>
        </w:rPr>
      </w:pPr>
      <w:r>
        <w:t>Proposal 2</w:t>
      </w:r>
      <w:r w:rsidRPr="006424F8">
        <w:rPr>
          <w:rFonts w:asciiTheme="minorHAnsi" w:eastAsiaTheme="minorEastAsia" w:hAnsiTheme="minorHAnsi" w:cstheme="minorBidi"/>
          <w:b w:val="0"/>
          <w:sz w:val="22"/>
          <w:lang w:eastAsia="sv-SE"/>
        </w:rPr>
        <w:tab/>
      </w:r>
      <w:r>
        <w:t>A default configuration of the paging channel should be derived from the PCI. This default configuration may be overridden by explicit configuration information in the system information.</w:t>
      </w:r>
    </w:p>
    <w:p w14:paraId="7AA6E6A4" w14:textId="0ACF7970" w:rsidR="003A7EF3" w:rsidRPr="006424F8" w:rsidRDefault="008E065E" w:rsidP="006424F8">
      <w:pPr>
        <w:rPr>
          <w:b/>
          <w:bCs/>
        </w:rPr>
      </w:pPr>
      <w:r>
        <w:rPr>
          <w:b/>
          <w:bCs/>
        </w:rPr>
        <w:fldChar w:fldCharType="end"/>
      </w:r>
      <w:bookmarkStart w:id="6" w:name="_In-sequence_SDU_delivery"/>
      <w:bookmarkEnd w:id="6"/>
    </w:p>
    <w:sectPr w:rsidR="003A7EF3" w:rsidRPr="006424F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39BA4" w14:textId="77777777" w:rsidR="0007560B" w:rsidRDefault="0007560B">
      <w:r>
        <w:separator/>
      </w:r>
    </w:p>
  </w:endnote>
  <w:endnote w:type="continuationSeparator" w:id="0">
    <w:p w14:paraId="6E2E86EE" w14:textId="77777777" w:rsidR="0007560B" w:rsidRDefault="00075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F333B2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424F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424F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7081B" w14:textId="77777777" w:rsidR="0007560B" w:rsidRDefault="0007560B">
      <w:r>
        <w:separator/>
      </w:r>
    </w:p>
  </w:footnote>
  <w:footnote w:type="continuationSeparator" w:id="0">
    <w:p w14:paraId="7FC4B7E8" w14:textId="77777777" w:rsidR="0007560B" w:rsidRDefault="00075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000"/>
    <w:rsid w:val="00002A37"/>
    <w:rsid w:val="00006446"/>
    <w:rsid w:val="00006896"/>
    <w:rsid w:val="00006B58"/>
    <w:rsid w:val="00007CDC"/>
    <w:rsid w:val="00011217"/>
    <w:rsid w:val="00011B28"/>
    <w:rsid w:val="00012030"/>
    <w:rsid w:val="00015D15"/>
    <w:rsid w:val="00017DAE"/>
    <w:rsid w:val="0002564D"/>
    <w:rsid w:val="00025ECA"/>
    <w:rsid w:val="00027939"/>
    <w:rsid w:val="0003126B"/>
    <w:rsid w:val="000325B8"/>
    <w:rsid w:val="00034C15"/>
    <w:rsid w:val="00036BA1"/>
    <w:rsid w:val="000422E2"/>
    <w:rsid w:val="00042F22"/>
    <w:rsid w:val="000444EF"/>
    <w:rsid w:val="000519BC"/>
    <w:rsid w:val="00052A07"/>
    <w:rsid w:val="000534E3"/>
    <w:rsid w:val="0005606A"/>
    <w:rsid w:val="00057117"/>
    <w:rsid w:val="000616E7"/>
    <w:rsid w:val="0006487E"/>
    <w:rsid w:val="00065E1A"/>
    <w:rsid w:val="0007560B"/>
    <w:rsid w:val="00077E5F"/>
    <w:rsid w:val="0008036A"/>
    <w:rsid w:val="00081AE6"/>
    <w:rsid w:val="000855EB"/>
    <w:rsid w:val="00085B52"/>
    <w:rsid w:val="000866F2"/>
    <w:rsid w:val="0009009F"/>
    <w:rsid w:val="00091557"/>
    <w:rsid w:val="000924C1"/>
    <w:rsid w:val="000924F0"/>
    <w:rsid w:val="00093474"/>
    <w:rsid w:val="000949DD"/>
    <w:rsid w:val="0009510F"/>
    <w:rsid w:val="000A1B7B"/>
    <w:rsid w:val="000A56F2"/>
    <w:rsid w:val="000A6B55"/>
    <w:rsid w:val="000B2719"/>
    <w:rsid w:val="000B3A8F"/>
    <w:rsid w:val="000B4AB9"/>
    <w:rsid w:val="000B58C3"/>
    <w:rsid w:val="000B61E9"/>
    <w:rsid w:val="000C165A"/>
    <w:rsid w:val="000C2E19"/>
    <w:rsid w:val="000C3CBD"/>
    <w:rsid w:val="000C6FE0"/>
    <w:rsid w:val="000D0D07"/>
    <w:rsid w:val="000D4797"/>
    <w:rsid w:val="000E0527"/>
    <w:rsid w:val="000E1E92"/>
    <w:rsid w:val="000E2357"/>
    <w:rsid w:val="000F06D6"/>
    <w:rsid w:val="000F0EB1"/>
    <w:rsid w:val="000F1106"/>
    <w:rsid w:val="000F1703"/>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7AB5"/>
    <w:rsid w:val="00137F0B"/>
    <w:rsid w:val="00151E23"/>
    <w:rsid w:val="001525B1"/>
    <w:rsid w:val="001526E0"/>
    <w:rsid w:val="001551B5"/>
    <w:rsid w:val="001643A8"/>
    <w:rsid w:val="001659C1"/>
    <w:rsid w:val="001734CA"/>
    <w:rsid w:val="00173A8E"/>
    <w:rsid w:val="00177795"/>
    <w:rsid w:val="0018143F"/>
    <w:rsid w:val="00190AC1"/>
    <w:rsid w:val="001918F3"/>
    <w:rsid w:val="0019341A"/>
    <w:rsid w:val="00193CA3"/>
    <w:rsid w:val="00197DF9"/>
    <w:rsid w:val="001A1987"/>
    <w:rsid w:val="001A2564"/>
    <w:rsid w:val="001A6173"/>
    <w:rsid w:val="001A6CBA"/>
    <w:rsid w:val="001B0D97"/>
    <w:rsid w:val="001B5A5D"/>
    <w:rsid w:val="001B730C"/>
    <w:rsid w:val="001C1CE5"/>
    <w:rsid w:val="001C3D2A"/>
    <w:rsid w:val="001C6495"/>
    <w:rsid w:val="001D51BA"/>
    <w:rsid w:val="001D6342"/>
    <w:rsid w:val="001D6D53"/>
    <w:rsid w:val="001E207C"/>
    <w:rsid w:val="001E495D"/>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1A8"/>
    <w:rsid w:val="00230765"/>
    <w:rsid w:val="002319E4"/>
    <w:rsid w:val="00235632"/>
    <w:rsid w:val="00235872"/>
    <w:rsid w:val="00241559"/>
    <w:rsid w:val="0024223B"/>
    <w:rsid w:val="00242256"/>
    <w:rsid w:val="002435B3"/>
    <w:rsid w:val="002458EB"/>
    <w:rsid w:val="002500C8"/>
    <w:rsid w:val="00257543"/>
    <w:rsid w:val="002617E7"/>
    <w:rsid w:val="00261FC8"/>
    <w:rsid w:val="00264228"/>
    <w:rsid w:val="00264334"/>
    <w:rsid w:val="0026473E"/>
    <w:rsid w:val="00266214"/>
    <w:rsid w:val="00267C83"/>
    <w:rsid w:val="00270602"/>
    <w:rsid w:val="0027144F"/>
    <w:rsid w:val="00271F3A"/>
    <w:rsid w:val="00273278"/>
    <w:rsid w:val="002737F4"/>
    <w:rsid w:val="00275904"/>
    <w:rsid w:val="002805F5"/>
    <w:rsid w:val="00280751"/>
    <w:rsid w:val="0028280A"/>
    <w:rsid w:val="002837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6035"/>
    <w:rsid w:val="002D7637"/>
    <w:rsid w:val="002E17F2"/>
    <w:rsid w:val="002E3639"/>
    <w:rsid w:val="002E6DB6"/>
    <w:rsid w:val="002E7CAE"/>
    <w:rsid w:val="002F2771"/>
    <w:rsid w:val="002F37A9"/>
    <w:rsid w:val="00300CEB"/>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63645"/>
    <w:rsid w:val="00370E47"/>
    <w:rsid w:val="003742AC"/>
    <w:rsid w:val="00377CE1"/>
    <w:rsid w:val="00385BF0"/>
    <w:rsid w:val="003939FF"/>
    <w:rsid w:val="0039608E"/>
    <w:rsid w:val="003A2223"/>
    <w:rsid w:val="003A2A0F"/>
    <w:rsid w:val="003A45A1"/>
    <w:rsid w:val="003A5B0A"/>
    <w:rsid w:val="003A6BAC"/>
    <w:rsid w:val="003A7EF3"/>
    <w:rsid w:val="003B159C"/>
    <w:rsid w:val="003B369F"/>
    <w:rsid w:val="003B36A3"/>
    <w:rsid w:val="003B50DC"/>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FBA"/>
    <w:rsid w:val="0041263E"/>
    <w:rsid w:val="00413AAC"/>
    <w:rsid w:val="004179E1"/>
    <w:rsid w:val="00421105"/>
    <w:rsid w:val="00422C10"/>
    <w:rsid w:val="004242F4"/>
    <w:rsid w:val="00427248"/>
    <w:rsid w:val="00435B79"/>
    <w:rsid w:val="00437447"/>
    <w:rsid w:val="00441A92"/>
    <w:rsid w:val="00444F56"/>
    <w:rsid w:val="00446488"/>
    <w:rsid w:val="0044790B"/>
    <w:rsid w:val="004517AA"/>
    <w:rsid w:val="00452CAC"/>
    <w:rsid w:val="00457565"/>
    <w:rsid w:val="00457B71"/>
    <w:rsid w:val="00465F3A"/>
    <w:rsid w:val="004669E2"/>
    <w:rsid w:val="00470C31"/>
    <w:rsid w:val="004734D0"/>
    <w:rsid w:val="0047556B"/>
    <w:rsid w:val="00477768"/>
    <w:rsid w:val="00485307"/>
    <w:rsid w:val="004927EE"/>
    <w:rsid w:val="00492BC5"/>
    <w:rsid w:val="004964F1"/>
    <w:rsid w:val="004972EB"/>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46AA4"/>
    <w:rsid w:val="00554E19"/>
    <w:rsid w:val="00555CD2"/>
    <w:rsid w:val="0056121F"/>
    <w:rsid w:val="00572505"/>
    <w:rsid w:val="00580202"/>
    <w:rsid w:val="0058186C"/>
    <w:rsid w:val="00582809"/>
    <w:rsid w:val="00584FCB"/>
    <w:rsid w:val="0058798C"/>
    <w:rsid w:val="005900FA"/>
    <w:rsid w:val="005908B0"/>
    <w:rsid w:val="005935A4"/>
    <w:rsid w:val="005948C2"/>
    <w:rsid w:val="00595DCA"/>
    <w:rsid w:val="0059779B"/>
    <w:rsid w:val="005A209A"/>
    <w:rsid w:val="005A662D"/>
    <w:rsid w:val="005B35D7"/>
    <w:rsid w:val="005B392A"/>
    <w:rsid w:val="005B3AA3"/>
    <w:rsid w:val="005B6F83"/>
    <w:rsid w:val="005C74FB"/>
    <w:rsid w:val="005D1602"/>
    <w:rsid w:val="005E2963"/>
    <w:rsid w:val="005E385F"/>
    <w:rsid w:val="005E5B81"/>
    <w:rsid w:val="005E5FE7"/>
    <w:rsid w:val="005F2CB1"/>
    <w:rsid w:val="005F3025"/>
    <w:rsid w:val="005F4D03"/>
    <w:rsid w:val="005F618C"/>
    <w:rsid w:val="005F70BD"/>
    <w:rsid w:val="0060283C"/>
    <w:rsid w:val="00604F14"/>
    <w:rsid w:val="00605F62"/>
    <w:rsid w:val="00611B83"/>
    <w:rsid w:val="00612B00"/>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24F8"/>
    <w:rsid w:val="00642E5E"/>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D30"/>
    <w:rsid w:val="006741F2"/>
    <w:rsid w:val="00674860"/>
    <w:rsid w:val="00674CC3"/>
    <w:rsid w:val="00675C72"/>
    <w:rsid w:val="006771F9"/>
    <w:rsid w:val="006776D7"/>
    <w:rsid w:val="00681003"/>
    <w:rsid w:val="006817C9"/>
    <w:rsid w:val="00683ECE"/>
    <w:rsid w:val="00686F94"/>
    <w:rsid w:val="00695FC2"/>
    <w:rsid w:val="00696949"/>
    <w:rsid w:val="00697052"/>
    <w:rsid w:val="006A46FB"/>
    <w:rsid w:val="006A5E28"/>
    <w:rsid w:val="006A697B"/>
    <w:rsid w:val="006A7287"/>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95D"/>
    <w:rsid w:val="0070346E"/>
    <w:rsid w:val="00704EDB"/>
    <w:rsid w:val="0070537F"/>
    <w:rsid w:val="00706101"/>
    <w:rsid w:val="00707072"/>
    <w:rsid w:val="00707D61"/>
    <w:rsid w:val="00712287"/>
    <w:rsid w:val="00712772"/>
    <w:rsid w:val="007148D3"/>
    <w:rsid w:val="00715B9A"/>
    <w:rsid w:val="007167B6"/>
    <w:rsid w:val="00721593"/>
    <w:rsid w:val="00726EA6"/>
    <w:rsid w:val="00727208"/>
    <w:rsid w:val="00727680"/>
    <w:rsid w:val="00732EA6"/>
    <w:rsid w:val="007348B1"/>
    <w:rsid w:val="00734B23"/>
    <w:rsid w:val="007362A6"/>
    <w:rsid w:val="00736D7D"/>
    <w:rsid w:val="00740E58"/>
    <w:rsid w:val="00741A7E"/>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C45"/>
    <w:rsid w:val="007A306F"/>
    <w:rsid w:val="007A43A6"/>
    <w:rsid w:val="007A58A6"/>
    <w:rsid w:val="007B3D2D"/>
    <w:rsid w:val="007B50AE"/>
    <w:rsid w:val="007B51DF"/>
    <w:rsid w:val="007C05DD"/>
    <w:rsid w:val="007C139F"/>
    <w:rsid w:val="007C3D18"/>
    <w:rsid w:val="007C60BF"/>
    <w:rsid w:val="007C6A07"/>
    <w:rsid w:val="007C75A1"/>
    <w:rsid w:val="007C77A5"/>
    <w:rsid w:val="007D0379"/>
    <w:rsid w:val="007D04E5"/>
    <w:rsid w:val="007D5901"/>
    <w:rsid w:val="007D7526"/>
    <w:rsid w:val="007E4157"/>
    <w:rsid w:val="007E4610"/>
    <w:rsid w:val="007E4715"/>
    <w:rsid w:val="007E505B"/>
    <w:rsid w:val="007E7091"/>
    <w:rsid w:val="00802CB9"/>
    <w:rsid w:val="00803FAE"/>
    <w:rsid w:val="0080605F"/>
    <w:rsid w:val="008068C9"/>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4A88"/>
    <w:rsid w:val="00895386"/>
    <w:rsid w:val="008A188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679"/>
    <w:rsid w:val="008C6AE8"/>
    <w:rsid w:val="008C7573"/>
    <w:rsid w:val="008D34F1"/>
    <w:rsid w:val="008D39D8"/>
    <w:rsid w:val="008D5AF1"/>
    <w:rsid w:val="008D6D1A"/>
    <w:rsid w:val="008E065E"/>
    <w:rsid w:val="008E0927"/>
    <w:rsid w:val="008E1909"/>
    <w:rsid w:val="008F1EAB"/>
    <w:rsid w:val="008F33DC"/>
    <w:rsid w:val="008F477F"/>
    <w:rsid w:val="00902350"/>
    <w:rsid w:val="0090336B"/>
    <w:rsid w:val="009053AA"/>
    <w:rsid w:val="00906939"/>
    <w:rsid w:val="00910B7D"/>
    <w:rsid w:val="00911DFB"/>
    <w:rsid w:val="00912B75"/>
    <w:rsid w:val="009139D9"/>
    <w:rsid w:val="00914AD8"/>
    <w:rsid w:val="00915720"/>
    <w:rsid w:val="00916079"/>
    <w:rsid w:val="00917CE9"/>
    <w:rsid w:val="00920BF2"/>
    <w:rsid w:val="00922010"/>
    <w:rsid w:val="00931BD9"/>
    <w:rsid w:val="009368F3"/>
    <w:rsid w:val="00941636"/>
    <w:rsid w:val="00943742"/>
    <w:rsid w:val="00945C05"/>
    <w:rsid w:val="00946945"/>
    <w:rsid w:val="00946ADD"/>
    <w:rsid w:val="00947713"/>
    <w:rsid w:val="00950DE7"/>
    <w:rsid w:val="00953920"/>
    <w:rsid w:val="00953D47"/>
    <w:rsid w:val="0095681E"/>
    <w:rsid w:val="009572D4"/>
    <w:rsid w:val="00961921"/>
    <w:rsid w:val="0096430A"/>
    <w:rsid w:val="0096554B"/>
    <w:rsid w:val="0096584A"/>
    <w:rsid w:val="0096648E"/>
    <w:rsid w:val="00967BDC"/>
    <w:rsid w:val="00971F08"/>
    <w:rsid w:val="0097603D"/>
    <w:rsid w:val="00976949"/>
    <w:rsid w:val="00980477"/>
    <w:rsid w:val="00985253"/>
    <w:rsid w:val="009853B3"/>
    <w:rsid w:val="00990630"/>
    <w:rsid w:val="00991761"/>
    <w:rsid w:val="00994DCA"/>
    <w:rsid w:val="009960EC"/>
    <w:rsid w:val="009970DD"/>
    <w:rsid w:val="009A0FBA"/>
    <w:rsid w:val="009A1601"/>
    <w:rsid w:val="009A3ADF"/>
    <w:rsid w:val="009A462D"/>
    <w:rsid w:val="009A5204"/>
    <w:rsid w:val="009A5CBA"/>
    <w:rsid w:val="009A6C99"/>
    <w:rsid w:val="009B026C"/>
    <w:rsid w:val="009B1F30"/>
    <w:rsid w:val="009B3AC2"/>
    <w:rsid w:val="009B4DF4"/>
    <w:rsid w:val="009B564E"/>
    <w:rsid w:val="009B7E87"/>
    <w:rsid w:val="009C403E"/>
    <w:rsid w:val="009D4FF0"/>
    <w:rsid w:val="009D703C"/>
    <w:rsid w:val="009D718F"/>
    <w:rsid w:val="009E068F"/>
    <w:rsid w:val="009E0F53"/>
    <w:rsid w:val="009E14E0"/>
    <w:rsid w:val="009E35DB"/>
    <w:rsid w:val="009E47A3"/>
    <w:rsid w:val="009F08F3"/>
    <w:rsid w:val="009F1ECE"/>
    <w:rsid w:val="009F344F"/>
    <w:rsid w:val="009F66F1"/>
    <w:rsid w:val="00A048A8"/>
    <w:rsid w:val="00A04F49"/>
    <w:rsid w:val="00A13E54"/>
    <w:rsid w:val="00A1432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650C"/>
    <w:rsid w:val="00A92879"/>
    <w:rsid w:val="00A9442A"/>
    <w:rsid w:val="00AA016F"/>
    <w:rsid w:val="00AA1ED6"/>
    <w:rsid w:val="00AA51D6"/>
    <w:rsid w:val="00AA6270"/>
    <w:rsid w:val="00AA70B2"/>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49CC"/>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5A6"/>
    <w:rsid w:val="00B45A52"/>
    <w:rsid w:val="00B46175"/>
    <w:rsid w:val="00B62AAA"/>
    <w:rsid w:val="00B664C7"/>
    <w:rsid w:val="00B709ED"/>
    <w:rsid w:val="00B739F6"/>
    <w:rsid w:val="00B81A6C"/>
    <w:rsid w:val="00B85DE5"/>
    <w:rsid w:val="00B90E78"/>
    <w:rsid w:val="00B90F73"/>
    <w:rsid w:val="00B93B59"/>
    <w:rsid w:val="00B9406A"/>
    <w:rsid w:val="00B9791B"/>
    <w:rsid w:val="00BA2280"/>
    <w:rsid w:val="00BA2A08"/>
    <w:rsid w:val="00BA56D2"/>
    <w:rsid w:val="00BA76E0"/>
    <w:rsid w:val="00BB2A25"/>
    <w:rsid w:val="00BB3A1C"/>
    <w:rsid w:val="00BB5101"/>
    <w:rsid w:val="00BB51E9"/>
    <w:rsid w:val="00BC0FDC"/>
    <w:rsid w:val="00BC3053"/>
    <w:rsid w:val="00BC4D2E"/>
    <w:rsid w:val="00BC586A"/>
    <w:rsid w:val="00BD0CAD"/>
    <w:rsid w:val="00BD48AC"/>
    <w:rsid w:val="00BD5F1A"/>
    <w:rsid w:val="00BE1234"/>
    <w:rsid w:val="00BE20D2"/>
    <w:rsid w:val="00BE2FA6"/>
    <w:rsid w:val="00BE333F"/>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47D9"/>
    <w:rsid w:val="00C75D2F"/>
    <w:rsid w:val="00C767BE"/>
    <w:rsid w:val="00C76963"/>
    <w:rsid w:val="00C76E3C"/>
    <w:rsid w:val="00C81568"/>
    <w:rsid w:val="00C9027A"/>
    <w:rsid w:val="00C9068E"/>
    <w:rsid w:val="00C93C4B"/>
    <w:rsid w:val="00C944AB"/>
    <w:rsid w:val="00C95B40"/>
    <w:rsid w:val="00C97C24"/>
    <w:rsid w:val="00CA1ED8"/>
    <w:rsid w:val="00CB1F63"/>
    <w:rsid w:val="00CB7170"/>
    <w:rsid w:val="00CC040E"/>
    <w:rsid w:val="00CC111F"/>
    <w:rsid w:val="00CC2011"/>
    <w:rsid w:val="00CC228F"/>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618F"/>
    <w:rsid w:val="00D16BD6"/>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3475"/>
    <w:rsid w:val="00D6435F"/>
    <w:rsid w:val="00D652B5"/>
    <w:rsid w:val="00D66155"/>
    <w:rsid w:val="00D708B0"/>
    <w:rsid w:val="00D7219C"/>
    <w:rsid w:val="00D75FE4"/>
    <w:rsid w:val="00D76C4E"/>
    <w:rsid w:val="00D77B1D"/>
    <w:rsid w:val="00D8021F"/>
    <w:rsid w:val="00D80383"/>
    <w:rsid w:val="00D823C6"/>
    <w:rsid w:val="00D86CA3"/>
    <w:rsid w:val="00D871CE"/>
    <w:rsid w:val="00D9196D"/>
    <w:rsid w:val="00D9205E"/>
    <w:rsid w:val="00D92982"/>
    <w:rsid w:val="00DA1837"/>
    <w:rsid w:val="00DA305E"/>
    <w:rsid w:val="00DA5007"/>
    <w:rsid w:val="00DA5417"/>
    <w:rsid w:val="00DA56E8"/>
    <w:rsid w:val="00DA6450"/>
    <w:rsid w:val="00DB0A9F"/>
    <w:rsid w:val="00DB377D"/>
    <w:rsid w:val="00DC2D36"/>
    <w:rsid w:val="00DC53EF"/>
    <w:rsid w:val="00DE5608"/>
    <w:rsid w:val="00DE58D0"/>
    <w:rsid w:val="00DE654F"/>
    <w:rsid w:val="00DF0B6E"/>
    <w:rsid w:val="00DF15E0"/>
    <w:rsid w:val="00DF2286"/>
    <w:rsid w:val="00DF37A0"/>
    <w:rsid w:val="00E110E7"/>
    <w:rsid w:val="00E11B20"/>
    <w:rsid w:val="00E17FA2"/>
    <w:rsid w:val="00E22330"/>
    <w:rsid w:val="00E249CE"/>
    <w:rsid w:val="00E30B5A"/>
    <w:rsid w:val="00E3123D"/>
    <w:rsid w:val="00E31461"/>
    <w:rsid w:val="00E31D43"/>
    <w:rsid w:val="00E32608"/>
    <w:rsid w:val="00E34188"/>
    <w:rsid w:val="00E345CD"/>
    <w:rsid w:val="00E34B6E"/>
    <w:rsid w:val="00E35559"/>
    <w:rsid w:val="00E36A7C"/>
    <w:rsid w:val="00E3723A"/>
    <w:rsid w:val="00E37860"/>
    <w:rsid w:val="00E446F1"/>
    <w:rsid w:val="00E46886"/>
    <w:rsid w:val="00E47AEF"/>
    <w:rsid w:val="00E53B75"/>
    <w:rsid w:val="00E54E3B"/>
    <w:rsid w:val="00E57565"/>
    <w:rsid w:val="00E60D0E"/>
    <w:rsid w:val="00E63838"/>
    <w:rsid w:val="00E64434"/>
    <w:rsid w:val="00E67C51"/>
    <w:rsid w:val="00E72EFC"/>
    <w:rsid w:val="00E7418A"/>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4C66"/>
    <w:rsid w:val="00EC5653"/>
    <w:rsid w:val="00EC60B5"/>
    <w:rsid w:val="00EC71CE"/>
    <w:rsid w:val="00ED1006"/>
    <w:rsid w:val="00ED72B3"/>
    <w:rsid w:val="00EE4663"/>
    <w:rsid w:val="00EF18FE"/>
    <w:rsid w:val="00EF5787"/>
    <w:rsid w:val="00EF60D0"/>
    <w:rsid w:val="00F01B08"/>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7CE"/>
    <w:rsid w:val="00F8456C"/>
    <w:rsid w:val="00F859D8"/>
    <w:rsid w:val="00F868F5"/>
    <w:rsid w:val="00F9056A"/>
    <w:rsid w:val="00F90E48"/>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2F9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2BAF886B-F153-4228-9EC7-A374CE954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Johan Rune</Prepared.>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SAQRZK7RPU5V-1-16373</_dlc_DocId>
    <_dlc_DocIdUrl xmlns="08b2df90-05d3-4030-90d4-c9feeb4a1cd9">
      <Url>https://ericoll.internal.ericsson.com/sites/NSA/_layouts/DocIdRedir.aspx?ID=SAQRZK7RPU5V-1-16373</Url>
      <Description>SAQRZK7RPU5V-1-16373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7BD14-970F-4270-B16E-213F897919EB}">
  <ds:schemaRefs>
    <ds:schemaRef ds:uri="http://schemas.microsoft.com/sharepoint/events"/>
  </ds:schemaRefs>
</ds:datastoreItem>
</file>

<file path=customXml/itemProps2.xml><?xml version="1.0" encoding="utf-8"?>
<ds:datastoreItem xmlns:ds="http://schemas.openxmlformats.org/officeDocument/2006/customXml" ds:itemID="{9387F694-CE2C-4D21-AE07-206B710097AD}">
  <ds:schemaRefs>
    <ds:schemaRef ds:uri="Microsoft.SharePoint.Taxonomy.ContentTypeSync"/>
  </ds:schemaRefs>
</ds:datastoreItem>
</file>

<file path=customXml/itemProps3.xml><?xml version="1.0" encoding="utf-8"?>
<ds:datastoreItem xmlns:ds="http://schemas.openxmlformats.org/officeDocument/2006/customXml" ds:itemID="{A15C5C19-66AB-401B-A006-171D263A7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5192B8-F5CF-43EF-A0FE-C8B8036CAB48}">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93010793-2FBA-4231-B1AC-B0CE12961BB9}">
  <ds:schemaRefs>
    <ds:schemaRef ds:uri="http://schemas.microsoft.com/sharepoint/v3/contenttype/forms"/>
  </ds:schemaRefs>
</ds:datastoreItem>
</file>

<file path=customXml/itemProps6.xml><?xml version="1.0" encoding="utf-8"?>
<ds:datastoreItem xmlns:ds="http://schemas.openxmlformats.org/officeDocument/2006/customXml" ds:itemID="{DA5D3B18-BC0A-478F-9C08-1AF3EB82B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13</TotalTime>
  <Pages>3</Pages>
  <Words>1175</Words>
  <Characters>6232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Means and configuration of paging delivery in NR</vt:lpstr>
    </vt:vector>
  </TitlesOfParts>
  <Company>Ericsson</Company>
  <LinksUpToDate>false</LinksUpToDate>
  <CharactersWithSpaces>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Means and configuration of paging delivery in NR</dc:title>
  <dc:creator>Mattias</dc:creator>
  <cp:keywords>Ericsson; TDoc; 3GPP</cp:keywords>
  <cp:lastModifiedBy>Jens Bergqvist</cp:lastModifiedBy>
  <cp:revision>5</cp:revision>
  <cp:lastPrinted>2008-01-31T06:09:00Z</cp:lastPrinted>
  <dcterms:created xsi:type="dcterms:W3CDTF">2017-02-04T03:19:00Z</dcterms:created>
  <dcterms:modified xsi:type="dcterms:W3CDTF">2017-03-24T20:31:00Z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c1678132-039e-4856-8d67-88251942bda8</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APMBB Deployments ＆ Spectrum|644d70e3-351b-4c06-8b80-4aa32d170e18</vt:lpwstr>
  </property>
  <property fmtid="{D5CDD505-2E9C-101B-9397-08002B2CF9AE}" pid="12" name="EriCOLLCustomer">
    <vt:lpwstr/>
  </property>
  <property fmtid="{D5CDD505-2E9C-101B-9397-08002B2CF9AE}" pid="13" name="EriCOLLProducts">
    <vt:lpwstr/>
  </property>
</Properties>
</file>